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08" w:rsidRDefault="00B11108" w:rsidP="0080187D">
      <w:pPr>
        <w:jc w:val="right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it-IT"/>
        </w:rPr>
        <w:drawing>
          <wp:inline distT="0" distB="0" distL="0" distR="0">
            <wp:extent cx="838614" cy="834887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18" cy="84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87D">
        <w:rPr>
          <w:b/>
          <w:color w:val="002060"/>
          <w:sz w:val="36"/>
          <w:szCs w:val="36"/>
        </w:rPr>
        <w:t xml:space="preserve">                                                                 </w:t>
      </w:r>
      <w:r w:rsidR="0080187D">
        <w:rPr>
          <w:b/>
          <w:noProof/>
          <w:color w:val="002060"/>
          <w:sz w:val="36"/>
          <w:szCs w:val="36"/>
          <w:lang w:eastAsia="it-IT"/>
        </w:rPr>
        <w:drawing>
          <wp:inline distT="0" distB="0" distL="0" distR="0">
            <wp:extent cx="1868556" cy="9193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.Signature_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98" cy="9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026" w:rsidRDefault="00006026" w:rsidP="00006026">
      <w:pPr>
        <w:spacing w:after="0"/>
        <w:jc w:val="center"/>
        <w:rPr>
          <w:rFonts w:ascii="Arial" w:hAnsi="Arial" w:cs="Arial"/>
          <w:i/>
          <w:color w:val="002060"/>
          <w:sz w:val="36"/>
          <w:szCs w:val="36"/>
          <w:shd w:val="clear" w:color="auto" w:fill="FFFFFF"/>
        </w:rPr>
      </w:pPr>
    </w:p>
    <w:p w:rsidR="00006026" w:rsidRPr="00006026" w:rsidRDefault="00006026" w:rsidP="00006026">
      <w:pPr>
        <w:spacing w:after="0"/>
        <w:jc w:val="center"/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</w:pPr>
      <w:r w:rsidRPr="00006026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>Gestione delle fasi progettuali nei progetti Design/</w:t>
      </w:r>
      <w:proofErr w:type="spellStart"/>
      <w:r w:rsidRPr="00006026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>Build</w:t>
      </w:r>
      <w:proofErr w:type="spellEnd"/>
      <w:r w:rsidRPr="00006026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 xml:space="preserve"> </w:t>
      </w:r>
    </w:p>
    <w:p w:rsidR="00006026" w:rsidRPr="00006026" w:rsidRDefault="00006026" w:rsidP="00006026">
      <w:pPr>
        <w:spacing w:after="0"/>
        <w:jc w:val="center"/>
        <w:rPr>
          <w:b/>
          <w:i/>
          <w:color w:val="002060"/>
          <w:sz w:val="36"/>
          <w:szCs w:val="36"/>
        </w:rPr>
      </w:pPr>
      <w:r w:rsidRPr="00006026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 xml:space="preserve">e Construction Manager/General </w:t>
      </w:r>
      <w:proofErr w:type="spellStart"/>
      <w:r w:rsidRPr="00006026">
        <w:rPr>
          <w:rFonts w:ascii="Arial" w:hAnsi="Arial" w:cs="Arial"/>
          <w:b/>
          <w:i/>
          <w:color w:val="002060"/>
          <w:sz w:val="36"/>
          <w:szCs w:val="36"/>
          <w:shd w:val="clear" w:color="auto" w:fill="FFFFFF"/>
        </w:rPr>
        <w:t>Contractor</w:t>
      </w:r>
      <w:proofErr w:type="spellEnd"/>
    </w:p>
    <w:p w:rsidR="00006026" w:rsidRDefault="00006026" w:rsidP="00B11108">
      <w:pPr>
        <w:jc w:val="center"/>
        <w:rPr>
          <w:i/>
          <w:color w:val="002060"/>
          <w:sz w:val="24"/>
          <w:szCs w:val="24"/>
        </w:rPr>
      </w:pPr>
    </w:p>
    <w:p w:rsidR="00576E12" w:rsidRPr="0080187D" w:rsidRDefault="00B11108" w:rsidP="00B11108">
      <w:pPr>
        <w:jc w:val="center"/>
        <w:rPr>
          <w:i/>
          <w:color w:val="002060"/>
          <w:sz w:val="24"/>
          <w:szCs w:val="24"/>
        </w:rPr>
      </w:pPr>
      <w:r w:rsidRPr="0080187D">
        <w:rPr>
          <w:i/>
          <w:color w:val="002060"/>
          <w:sz w:val="24"/>
          <w:szCs w:val="24"/>
        </w:rPr>
        <w:t>Apertura lavori</w:t>
      </w:r>
    </w:p>
    <w:p w:rsidR="008C6A1A" w:rsidRDefault="00576E12" w:rsidP="00B11108">
      <w:pPr>
        <w:spacing w:after="0"/>
        <w:jc w:val="center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 xml:space="preserve">Prof. </w:t>
      </w:r>
      <w:r w:rsidR="0080187D">
        <w:rPr>
          <w:color w:val="002060"/>
          <w:sz w:val="24"/>
          <w:szCs w:val="24"/>
        </w:rPr>
        <w:t xml:space="preserve">Ing. </w:t>
      </w:r>
      <w:r w:rsidRPr="0080187D">
        <w:rPr>
          <w:color w:val="002060"/>
          <w:sz w:val="24"/>
          <w:szCs w:val="24"/>
        </w:rPr>
        <w:t xml:space="preserve">Bruno Montella </w:t>
      </w:r>
    </w:p>
    <w:p w:rsidR="00B11108" w:rsidRPr="0080187D" w:rsidRDefault="00576E12" w:rsidP="00B11108">
      <w:pPr>
        <w:spacing w:after="0"/>
        <w:jc w:val="center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 xml:space="preserve">Direttore  DICEA </w:t>
      </w:r>
      <w:proofErr w:type="spellStart"/>
      <w:r w:rsidRPr="0080187D">
        <w:rPr>
          <w:color w:val="002060"/>
          <w:sz w:val="24"/>
          <w:szCs w:val="24"/>
        </w:rPr>
        <w:t>UniNa</w:t>
      </w:r>
      <w:proofErr w:type="spellEnd"/>
      <w:r w:rsidRPr="0080187D">
        <w:rPr>
          <w:color w:val="002060"/>
          <w:sz w:val="24"/>
          <w:szCs w:val="24"/>
        </w:rPr>
        <w:t xml:space="preserve"> </w:t>
      </w:r>
    </w:p>
    <w:p w:rsidR="00B11108" w:rsidRPr="0080187D" w:rsidRDefault="00B11108" w:rsidP="00B11108">
      <w:pPr>
        <w:spacing w:after="0"/>
        <w:jc w:val="center"/>
        <w:rPr>
          <w:color w:val="002060"/>
          <w:sz w:val="24"/>
          <w:szCs w:val="24"/>
        </w:rPr>
      </w:pPr>
    </w:p>
    <w:p w:rsidR="00B11108" w:rsidRPr="0080187D" w:rsidRDefault="0080187D" w:rsidP="00B11108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Dr. </w:t>
      </w:r>
      <w:r w:rsidR="00576E12" w:rsidRPr="0080187D">
        <w:rPr>
          <w:color w:val="002060"/>
          <w:sz w:val="24"/>
          <w:szCs w:val="24"/>
        </w:rPr>
        <w:t xml:space="preserve">Ing. Giovanni Mantovani </w:t>
      </w:r>
    </w:p>
    <w:p w:rsidR="00576E12" w:rsidRPr="0080187D" w:rsidRDefault="00576E12" w:rsidP="00B11108">
      <w:pPr>
        <w:spacing w:after="0"/>
        <w:jc w:val="center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>Presidente  AIIT</w:t>
      </w:r>
    </w:p>
    <w:p w:rsidR="00006026" w:rsidRDefault="00006026" w:rsidP="00006026">
      <w:pPr>
        <w:spacing w:after="0"/>
        <w:jc w:val="center"/>
        <w:rPr>
          <w:b/>
          <w:i/>
          <w:color w:val="002060"/>
          <w:sz w:val="32"/>
          <w:szCs w:val="32"/>
        </w:rPr>
      </w:pPr>
    </w:p>
    <w:p w:rsidR="00B11108" w:rsidRDefault="00B11108" w:rsidP="00006026">
      <w:pPr>
        <w:spacing w:after="0"/>
        <w:jc w:val="center"/>
        <w:rPr>
          <w:b/>
          <w:i/>
          <w:color w:val="002060"/>
          <w:sz w:val="32"/>
          <w:szCs w:val="32"/>
        </w:rPr>
      </w:pPr>
      <w:proofErr w:type="spellStart"/>
      <w:r w:rsidRPr="0080187D">
        <w:rPr>
          <w:b/>
          <w:i/>
          <w:color w:val="002060"/>
          <w:sz w:val="32"/>
          <w:szCs w:val="32"/>
        </w:rPr>
        <w:t>Lecture</w:t>
      </w:r>
      <w:proofErr w:type="spellEnd"/>
    </w:p>
    <w:p w:rsidR="00B11108" w:rsidRPr="0080187D" w:rsidRDefault="00576E12" w:rsidP="00B11108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80187D">
        <w:rPr>
          <w:b/>
          <w:color w:val="002060"/>
          <w:sz w:val="32"/>
          <w:szCs w:val="32"/>
        </w:rPr>
        <w:t xml:space="preserve">Prof. </w:t>
      </w:r>
      <w:r w:rsidR="0080187D" w:rsidRPr="0080187D">
        <w:rPr>
          <w:b/>
          <w:color w:val="002060"/>
          <w:sz w:val="32"/>
          <w:szCs w:val="32"/>
        </w:rPr>
        <w:t xml:space="preserve">Ing. </w:t>
      </w:r>
      <w:r w:rsidRPr="0080187D">
        <w:rPr>
          <w:b/>
          <w:color w:val="002060"/>
          <w:sz w:val="32"/>
          <w:szCs w:val="32"/>
        </w:rPr>
        <w:t xml:space="preserve">Giovanni Ciro Migliaccio </w:t>
      </w:r>
    </w:p>
    <w:p w:rsidR="00576E12" w:rsidRPr="0080187D" w:rsidRDefault="00576E12" w:rsidP="00B1110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proofErr w:type="spellStart"/>
      <w:r w:rsidRPr="0080187D">
        <w:rPr>
          <w:b/>
          <w:color w:val="002060"/>
          <w:sz w:val="28"/>
          <w:szCs w:val="28"/>
        </w:rPr>
        <w:t>University</w:t>
      </w:r>
      <w:proofErr w:type="spellEnd"/>
      <w:r w:rsidRPr="0080187D">
        <w:rPr>
          <w:b/>
          <w:color w:val="002060"/>
          <w:sz w:val="28"/>
          <w:szCs w:val="28"/>
        </w:rPr>
        <w:t xml:space="preserve"> of Washington</w:t>
      </w:r>
    </w:p>
    <w:p w:rsidR="0080187D" w:rsidRDefault="0080187D" w:rsidP="0080187D">
      <w:pPr>
        <w:jc w:val="center"/>
        <w:rPr>
          <w:b/>
          <w:i/>
          <w:color w:val="002060"/>
          <w:sz w:val="24"/>
          <w:szCs w:val="24"/>
        </w:rPr>
      </w:pPr>
    </w:p>
    <w:p w:rsidR="0080187D" w:rsidRPr="0080187D" w:rsidRDefault="0080187D" w:rsidP="0080187D">
      <w:pPr>
        <w:jc w:val="center"/>
        <w:rPr>
          <w:i/>
          <w:color w:val="002060"/>
          <w:sz w:val="24"/>
          <w:szCs w:val="24"/>
        </w:rPr>
      </w:pPr>
      <w:r w:rsidRPr="0080187D">
        <w:rPr>
          <w:i/>
          <w:color w:val="002060"/>
          <w:sz w:val="24"/>
          <w:szCs w:val="24"/>
        </w:rPr>
        <w:t>Interventi programmati</w:t>
      </w:r>
    </w:p>
    <w:p w:rsidR="0080187D" w:rsidRPr="0080187D" w:rsidRDefault="0080187D" w:rsidP="0080187D">
      <w:pPr>
        <w:spacing w:after="0"/>
        <w:jc w:val="center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 xml:space="preserve">Prof. </w:t>
      </w:r>
      <w:r>
        <w:rPr>
          <w:color w:val="002060"/>
          <w:sz w:val="24"/>
          <w:szCs w:val="24"/>
        </w:rPr>
        <w:t xml:space="preserve">Ing. </w:t>
      </w:r>
      <w:r w:rsidRPr="0080187D">
        <w:rPr>
          <w:color w:val="002060"/>
          <w:sz w:val="24"/>
          <w:szCs w:val="24"/>
        </w:rPr>
        <w:t xml:space="preserve">Guido </w:t>
      </w:r>
      <w:proofErr w:type="spellStart"/>
      <w:r w:rsidRPr="0080187D">
        <w:rPr>
          <w:color w:val="002060"/>
          <w:sz w:val="24"/>
          <w:szCs w:val="24"/>
        </w:rPr>
        <w:t>Capaldo</w:t>
      </w:r>
      <w:proofErr w:type="spellEnd"/>
      <w:r w:rsidRPr="0080187D">
        <w:rPr>
          <w:color w:val="002060"/>
          <w:sz w:val="24"/>
          <w:szCs w:val="24"/>
        </w:rPr>
        <w:t xml:space="preserve"> </w:t>
      </w:r>
    </w:p>
    <w:p w:rsidR="0080187D" w:rsidRPr="00897D04" w:rsidRDefault="0080187D" w:rsidP="0080187D">
      <w:pPr>
        <w:spacing w:after="0"/>
        <w:jc w:val="center"/>
        <w:rPr>
          <w:color w:val="002060"/>
        </w:rPr>
      </w:pPr>
      <w:r w:rsidRPr="00897D04">
        <w:rPr>
          <w:color w:val="002060"/>
        </w:rPr>
        <w:t xml:space="preserve">Presidente  </w:t>
      </w:r>
      <w:proofErr w:type="spellStart"/>
      <w:r w:rsidRPr="00897D04">
        <w:rPr>
          <w:color w:val="002060"/>
        </w:rPr>
        <w:t>CdS</w:t>
      </w:r>
      <w:proofErr w:type="spellEnd"/>
      <w:r w:rsidRPr="00897D04">
        <w:rPr>
          <w:color w:val="002060"/>
        </w:rPr>
        <w:t xml:space="preserve"> Ing. Gestionale Progetti e Infrastrutture </w:t>
      </w:r>
      <w:proofErr w:type="spellStart"/>
      <w:r w:rsidRPr="00897D04">
        <w:rPr>
          <w:color w:val="002060"/>
        </w:rPr>
        <w:t>UniNa</w:t>
      </w:r>
      <w:proofErr w:type="spellEnd"/>
    </w:p>
    <w:p w:rsidR="0080187D" w:rsidRPr="0080187D" w:rsidRDefault="0080187D" w:rsidP="0080187D">
      <w:pPr>
        <w:spacing w:after="0"/>
        <w:jc w:val="center"/>
        <w:rPr>
          <w:color w:val="002060"/>
          <w:sz w:val="24"/>
          <w:szCs w:val="24"/>
        </w:rPr>
      </w:pPr>
    </w:p>
    <w:p w:rsidR="0080187D" w:rsidRPr="0080187D" w:rsidRDefault="0080187D" w:rsidP="0080187D">
      <w:pPr>
        <w:spacing w:after="0"/>
        <w:jc w:val="center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 xml:space="preserve">Prof. </w:t>
      </w:r>
      <w:r>
        <w:rPr>
          <w:color w:val="002060"/>
          <w:sz w:val="24"/>
          <w:szCs w:val="24"/>
        </w:rPr>
        <w:t xml:space="preserve">Ing. </w:t>
      </w:r>
      <w:r w:rsidRPr="0080187D">
        <w:rPr>
          <w:color w:val="002060"/>
          <w:sz w:val="24"/>
          <w:szCs w:val="24"/>
        </w:rPr>
        <w:t>Vincenzo Torrieri</w:t>
      </w:r>
    </w:p>
    <w:p w:rsidR="0080187D" w:rsidRPr="00897D04" w:rsidRDefault="00897D04" w:rsidP="0080187D">
      <w:pPr>
        <w:spacing w:after="0"/>
        <w:jc w:val="center"/>
        <w:rPr>
          <w:color w:val="002060"/>
        </w:rPr>
      </w:pPr>
      <w:r w:rsidRPr="00897D04">
        <w:rPr>
          <w:color w:val="002060"/>
        </w:rPr>
        <w:t>Università degli S</w:t>
      </w:r>
      <w:r w:rsidR="0080187D" w:rsidRPr="00897D04">
        <w:rPr>
          <w:color w:val="002060"/>
        </w:rPr>
        <w:t>tudi di Napoli Federico II</w:t>
      </w:r>
    </w:p>
    <w:p w:rsidR="0080187D" w:rsidRPr="0080187D" w:rsidRDefault="0080187D" w:rsidP="0080187D">
      <w:pPr>
        <w:tabs>
          <w:tab w:val="left" w:pos="5489"/>
        </w:tabs>
        <w:spacing w:after="0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ab/>
      </w:r>
    </w:p>
    <w:p w:rsidR="0080187D" w:rsidRPr="0080187D" w:rsidRDefault="0080187D" w:rsidP="0080187D">
      <w:pPr>
        <w:spacing w:after="0"/>
        <w:jc w:val="center"/>
        <w:rPr>
          <w:color w:val="002060"/>
          <w:sz w:val="24"/>
          <w:szCs w:val="24"/>
        </w:rPr>
      </w:pPr>
      <w:r w:rsidRPr="0080187D">
        <w:rPr>
          <w:color w:val="002060"/>
          <w:sz w:val="24"/>
          <w:szCs w:val="24"/>
        </w:rPr>
        <w:t xml:space="preserve">Prof. </w:t>
      </w:r>
      <w:r>
        <w:rPr>
          <w:color w:val="002060"/>
          <w:sz w:val="24"/>
          <w:szCs w:val="24"/>
        </w:rPr>
        <w:t xml:space="preserve">Ing. </w:t>
      </w:r>
      <w:r w:rsidRPr="0080187D">
        <w:rPr>
          <w:color w:val="002060"/>
          <w:sz w:val="24"/>
          <w:szCs w:val="24"/>
        </w:rPr>
        <w:t xml:space="preserve">Renato Lamberti </w:t>
      </w:r>
    </w:p>
    <w:p w:rsidR="0080187D" w:rsidRPr="00897D04" w:rsidRDefault="0080187D" w:rsidP="0080187D">
      <w:pPr>
        <w:spacing w:after="0"/>
        <w:jc w:val="center"/>
        <w:rPr>
          <w:color w:val="002060"/>
        </w:rPr>
      </w:pPr>
      <w:r w:rsidRPr="00897D04">
        <w:rPr>
          <w:color w:val="002060"/>
        </w:rPr>
        <w:t>Presidente  AIIT Campania-Molise</w:t>
      </w:r>
    </w:p>
    <w:p w:rsidR="00B11108" w:rsidRPr="00B11108" w:rsidRDefault="00B11108" w:rsidP="00B11108">
      <w:pPr>
        <w:jc w:val="center"/>
        <w:rPr>
          <w:color w:val="002060"/>
        </w:rPr>
      </w:pPr>
    </w:p>
    <w:p w:rsidR="00B11108" w:rsidRPr="00B11108" w:rsidRDefault="00576E12" w:rsidP="00B11108">
      <w:pPr>
        <w:spacing w:after="0"/>
        <w:jc w:val="center"/>
        <w:rPr>
          <w:color w:val="002060"/>
          <w:sz w:val="24"/>
          <w:szCs w:val="24"/>
        </w:rPr>
      </w:pPr>
      <w:r w:rsidRPr="00B11108">
        <w:rPr>
          <w:color w:val="002060"/>
          <w:sz w:val="24"/>
          <w:szCs w:val="24"/>
        </w:rPr>
        <w:t xml:space="preserve">25 luglio 2014, Ore 10 Aula C5A, Via Claudio 21 </w:t>
      </w:r>
    </w:p>
    <w:p w:rsidR="00B11108" w:rsidRPr="00B11108" w:rsidRDefault="00576E12" w:rsidP="00B11108">
      <w:pPr>
        <w:spacing w:after="0"/>
        <w:jc w:val="center"/>
        <w:rPr>
          <w:color w:val="002060"/>
          <w:sz w:val="24"/>
          <w:szCs w:val="24"/>
        </w:rPr>
      </w:pPr>
      <w:r w:rsidRPr="00B11108">
        <w:rPr>
          <w:color w:val="002060"/>
          <w:sz w:val="24"/>
          <w:szCs w:val="24"/>
        </w:rPr>
        <w:t xml:space="preserve">Università degli Studi di Napoli Federico II </w:t>
      </w:r>
    </w:p>
    <w:p w:rsidR="00576E12" w:rsidRDefault="00576E12" w:rsidP="00B11108">
      <w:pPr>
        <w:spacing w:after="0"/>
        <w:jc w:val="center"/>
        <w:rPr>
          <w:color w:val="002060"/>
          <w:sz w:val="24"/>
          <w:szCs w:val="24"/>
        </w:rPr>
      </w:pPr>
      <w:r w:rsidRPr="00B11108">
        <w:rPr>
          <w:color w:val="002060"/>
          <w:sz w:val="24"/>
          <w:szCs w:val="24"/>
        </w:rPr>
        <w:t>Scuola Politecnica e S.B. - Collegio di Ingegneria</w:t>
      </w:r>
    </w:p>
    <w:p w:rsidR="00006026" w:rsidRPr="00B11108" w:rsidRDefault="00006026" w:rsidP="00B11108">
      <w:pPr>
        <w:spacing w:after="0"/>
        <w:jc w:val="center"/>
        <w:rPr>
          <w:color w:val="002060"/>
          <w:sz w:val="24"/>
          <w:szCs w:val="24"/>
        </w:rPr>
      </w:pPr>
    </w:p>
    <w:p w:rsidR="00B11108" w:rsidRPr="0080187D" w:rsidRDefault="00576E12" w:rsidP="00B11108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80187D">
        <w:rPr>
          <w:b/>
          <w:color w:val="002060"/>
          <w:sz w:val="32"/>
          <w:szCs w:val="32"/>
        </w:rPr>
        <w:t xml:space="preserve">Con il patrocinio di </w:t>
      </w:r>
    </w:p>
    <w:p w:rsidR="00B11108" w:rsidRPr="0080187D" w:rsidRDefault="00576E12" w:rsidP="00B11108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80187D">
        <w:rPr>
          <w:b/>
          <w:color w:val="002060"/>
          <w:sz w:val="32"/>
          <w:szCs w:val="32"/>
        </w:rPr>
        <w:t>Associazione Italiana per l’Ingegneria del Traffico e dei Trasporti AIIT</w:t>
      </w:r>
    </w:p>
    <w:p w:rsidR="00527F36" w:rsidRDefault="00576E12" w:rsidP="00B11108">
      <w:pPr>
        <w:spacing w:after="0" w:line="240" w:lineRule="auto"/>
        <w:jc w:val="center"/>
        <w:rPr>
          <w:color w:val="002060"/>
          <w:sz w:val="34"/>
          <w:szCs w:val="34"/>
        </w:rPr>
      </w:pPr>
      <w:r w:rsidRPr="0080187D">
        <w:rPr>
          <w:b/>
          <w:color w:val="002060"/>
          <w:sz w:val="32"/>
          <w:szCs w:val="32"/>
        </w:rPr>
        <w:t xml:space="preserve"> Centro Studi e Ricerche AIIT (CSR-AIIT</w:t>
      </w:r>
      <w:r w:rsidR="00B11108" w:rsidRPr="00B11108">
        <w:rPr>
          <w:color w:val="002060"/>
          <w:sz w:val="34"/>
          <w:szCs w:val="34"/>
        </w:rPr>
        <w:t>)</w:t>
      </w:r>
    </w:p>
    <w:p w:rsidR="00C01884" w:rsidRDefault="00C01884" w:rsidP="00C018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lastRenderedPageBreak/>
        <w:t>Design-Management for Design-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Build</w:t>
      </w:r>
      <w:proofErr w:type="spellEnd"/>
    </w:p>
    <w:p w:rsidR="00C01884" w:rsidRDefault="00C01884" w:rsidP="00C0188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and Construction Manager/General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Contractor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Projects</w:t>
      </w:r>
      <w:proofErr w:type="spellEnd"/>
    </w:p>
    <w:p w:rsidR="00C01884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1884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While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traditional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design-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bid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build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(DBB)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approach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delivery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remains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prevalent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among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state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departments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transportation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DOTs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)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transportation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facilities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some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agencies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have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been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selectively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adopting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alternative delivery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methods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increase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collaboration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among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designer,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. Under the design-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build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(DB)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process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for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example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the designer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unified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team to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deliver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completed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 set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price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01884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1884" w:rsidRPr="00E937BB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Under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manager-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risk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(CMR)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process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designer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engaged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separately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by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case under DBB),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but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involved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from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earliest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stages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the design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process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; the designer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expected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work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collaboratively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deliver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meets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owner’s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requirements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. Some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agencies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have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adopted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term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Construction Manager/General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Contractor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(CMGC) for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method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generally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similar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CMR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but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reallocates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risk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more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reasonably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among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constructor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, and designer. (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used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research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CMGC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understood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include CMR.)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Among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attractions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claimed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such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alternative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-delivery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methods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improved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constructability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increased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cost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certainty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im</w:t>
      </w:r>
      <w:bookmarkStart w:id="0" w:name="_GoBack"/>
      <w:bookmarkEnd w:id="0"/>
      <w:r w:rsidRPr="00E937BB">
        <w:rPr>
          <w:rFonts w:ascii="Arial" w:eastAsia="Times New Roman" w:hAnsi="Arial" w:cs="Arial"/>
          <w:color w:val="000000"/>
          <w:sz w:val="24"/>
          <w:szCs w:val="24"/>
        </w:rPr>
        <w:t>proved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schedule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certainty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actual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cost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savings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1884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1884" w:rsidRPr="00E937BB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Experience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has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shown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policies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used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develop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administer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traditional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design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contracts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under DBB) are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inadequate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these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alternative delivery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methods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Therefore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Transportation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Research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Board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contracted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research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team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study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these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phenomena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develop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 guide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describing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effective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design-management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practices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using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CMGC or DB.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team,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including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researchers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from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Washington, and 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University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Florida plus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various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consulting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engineering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firms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directed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by Prof. Edward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Minchin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Prof. Giovanni Migliaccio. </w:t>
      </w:r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presentation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include (a)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review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synthesis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recent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’ management of design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services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under CMGC and DB; (b)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critical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assessments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the relative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merits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alternative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approaches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managing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key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aspects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the design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affect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scope,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quality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cost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; and (c)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lessons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learned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from design management under CMGC and DB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be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effectively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applied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under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delivery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methods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01884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937B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01884" w:rsidRPr="00C01884" w:rsidRDefault="00C01884" w:rsidP="00C018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co-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director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of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research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team</w:t>
      </w:r>
      <w:r>
        <w:rPr>
          <w:rFonts w:ascii="Arial" w:eastAsia="Times New Roman" w:hAnsi="Arial" w:cs="Arial"/>
          <w:color w:val="000000"/>
          <w:sz w:val="24"/>
          <w:szCs w:val="24"/>
        </w:rPr>
        <w:t>, Prof. Migliaccio</w:t>
      </w:r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review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recent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DOTs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agencies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regarding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design management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practices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used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under CMGC, DB,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similar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methods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for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delivery;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considered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relevant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construction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industry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segments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Considering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such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issues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liability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responsibility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in CMGC and DB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development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measures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effectiveness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for design management, the team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developed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framework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characterizing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principal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areas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where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owners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’ design management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practices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under CMGC and DB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delivery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processes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likely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influence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success. The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product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 guide for state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DOTs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other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transportation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agencies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on design management under CMGC and DB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project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delivery.   The guide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will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be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published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 xml:space="preserve"> in the NCHRP report </w:t>
      </w:r>
      <w:proofErr w:type="spellStart"/>
      <w:r w:rsidRPr="00E937BB">
        <w:rPr>
          <w:rFonts w:ascii="Arial" w:eastAsia="Times New Roman" w:hAnsi="Arial" w:cs="Arial"/>
          <w:color w:val="000000"/>
          <w:sz w:val="24"/>
          <w:szCs w:val="24"/>
        </w:rPr>
        <w:t>series</w:t>
      </w:r>
      <w:proofErr w:type="spellEnd"/>
      <w:r w:rsidRPr="00E937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sectPr w:rsidR="00C01884" w:rsidRPr="00C01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12"/>
    <w:rsid w:val="00006026"/>
    <w:rsid w:val="003435D9"/>
    <w:rsid w:val="00527F36"/>
    <w:rsid w:val="00576E12"/>
    <w:rsid w:val="007F4EE3"/>
    <w:rsid w:val="0080187D"/>
    <w:rsid w:val="00897D04"/>
    <w:rsid w:val="008C6A1A"/>
    <w:rsid w:val="00B11108"/>
    <w:rsid w:val="00C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1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1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Dell'Acqua</dc:creator>
  <cp:lastModifiedBy>Gianluca Dell'Acqua</cp:lastModifiedBy>
  <cp:revision>9</cp:revision>
  <dcterms:created xsi:type="dcterms:W3CDTF">2014-07-03T11:45:00Z</dcterms:created>
  <dcterms:modified xsi:type="dcterms:W3CDTF">2014-07-03T14:08:00Z</dcterms:modified>
</cp:coreProperties>
</file>